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7B" w:rsidRPr="009E72B9" w:rsidRDefault="009A0F7B" w:rsidP="009A0F7B">
      <w:pPr>
        <w:pStyle w:val="a4"/>
        <w:rPr>
          <w:b/>
          <w:color w:val="000000"/>
          <w:sz w:val="27"/>
          <w:szCs w:val="27"/>
        </w:rPr>
      </w:pPr>
      <w:r w:rsidRPr="0094751E">
        <w:rPr>
          <w:b/>
          <w:color w:val="000000"/>
          <w:sz w:val="27"/>
          <w:szCs w:val="27"/>
        </w:rPr>
        <w:t>Заявка</w:t>
      </w:r>
      <w:r>
        <w:rPr>
          <w:b/>
          <w:color w:val="000000"/>
          <w:sz w:val="27"/>
          <w:szCs w:val="27"/>
        </w:rPr>
        <w:t>:</w:t>
      </w:r>
    </w:p>
    <w:p w:rsidR="009A0F7B" w:rsidRDefault="009A0F7B" w:rsidP="009A0F7B">
      <w:pPr>
        <w:pStyle w:val="a4"/>
        <w:rPr>
          <w:color w:val="000000"/>
          <w:sz w:val="27"/>
          <w:szCs w:val="27"/>
        </w:rPr>
      </w:pPr>
      <w:proofErr w:type="gramStart"/>
      <w:r>
        <w:rPr>
          <w:color w:val="000000"/>
          <w:sz w:val="27"/>
          <w:szCs w:val="27"/>
        </w:rPr>
        <w:t>Полные</w:t>
      </w:r>
      <w:proofErr w:type="gramEnd"/>
      <w:r>
        <w:rPr>
          <w:color w:val="000000"/>
          <w:sz w:val="27"/>
          <w:szCs w:val="27"/>
        </w:rPr>
        <w:t xml:space="preserve"> фамилия имя и отчество:</w:t>
      </w:r>
    </w:p>
    <w:p w:rsidR="009A0F7B" w:rsidRDefault="009A0F7B" w:rsidP="009A0F7B">
      <w:pPr>
        <w:pStyle w:val="a4"/>
        <w:rPr>
          <w:color w:val="000000"/>
          <w:sz w:val="27"/>
          <w:szCs w:val="27"/>
        </w:rPr>
      </w:pPr>
      <w:r>
        <w:rPr>
          <w:color w:val="000000"/>
          <w:sz w:val="27"/>
          <w:szCs w:val="27"/>
        </w:rPr>
        <w:t>Полное название учебного заведения:</w:t>
      </w:r>
    </w:p>
    <w:p w:rsidR="009A0F7B" w:rsidRDefault="009A0F7B" w:rsidP="009A0F7B">
      <w:pPr>
        <w:pStyle w:val="a4"/>
        <w:rPr>
          <w:color w:val="000000"/>
          <w:sz w:val="27"/>
          <w:szCs w:val="27"/>
        </w:rPr>
      </w:pPr>
      <w:r>
        <w:rPr>
          <w:color w:val="000000"/>
          <w:sz w:val="27"/>
          <w:szCs w:val="27"/>
        </w:rPr>
        <w:t>Направление подготовки/специальность:</w:t>
      </w:r>
    </w:p>
    <w:p w:rsidR="009A0F7B" w:rsidRDefault="009A0F7B" w:rsidP="009A0F7B">
      <w:pPr>
        <w:pStyle w:val="a4"/>
        <w:rPr>
          <w:color w:val="000000"/>
          <w:sz w:val="27"/>
          <w:szCs w:val="27"/>
        </w:rPr>
      </w:pPr>
      <w:r>
        <w:rPr>
          <w:color w:val="000000"/>
          <w:sz w:val="27"/>
          <w:szCs w:val="27"/>
        </w:rPr>
        <w:t>Курс:</w:t>
      </w:r>
      <w:bookmarkStart w:id="0" w:name="_GoBack"/>
      <w:bookmarkEnd w:id="0"/>
    </w:p>
    <w:p w:rsidR="009A0F7B" w:rsidRDefault="009A0F7B" w:rsidP="009A0F7B">
      <w:pPr>
        <w:pStyle w:val="a4"/>
        <w:rPr>
          <w:color w:val="000000"/>
          <w:sz w:val="27"/>
          <w:szCs w:val="27"/>
        </w:rPr>
      </w:pPr>
      <w:r>
        <w:rPr>
          <w:color w:val="000000"/>
          <w:sz w:val="27"/>
          <w:szCs w:val="27"/>
        </w:rPr>
        <w:t>Телефон:</w:t>
      </w:r>
    </w:p>
    <w:p w:rsidR="009A0F7B" w:rsidRDefault="009A0F7B" w:rsidP="009A0F7B">
      <w:pPr>
        <w:pStyle w:val="a4"/>
        <w:rPr>
          <w:color w:val="000000"/>
          <w:sz w:val="27"/>
          <w:szCs w:val="27"/>
        </w:rPr>
      </w:pPr>
      <w:r>
        <w:rPr>
          <w:color w:val="000000"/>
          <w:sz w:val="27"/>
          <w:szCs w:val="27"/>
        </w:rPr>
        <w:t>Адрес электронной почты:</w:t>
      </w:r>
    </w:p>
    <w:p w:rsidR="009A0F7B" w:rsidRPr="0094751E" w:rsidRDefault="009A0F7B" w:rsidP="009A0F7B">
      <w:pPr>
        <w:pStyle w:val="a4"/>
        <w:rPr>
          <w:color w:val="000000"/>
          <w:sz w:val="27"/>
          <w:szCs w:val="27"/>
        </w:rPr>
      </w:pPr>
      <w:r w:rsidRPr="0094751E">
        <w:rPr>
          <w:color w:val="000000"/>
          <w:sz w:val="27"/>
          <w:szCs w:val="27"/>
        </w:rPr>
        <w:t xml:space="preserve">Номинация: </w:t>
      </w:r>
      <w:r>
        <w:rPr>
          <w:color w:val="000000"/>
          <w:sz w:val="27"/>
          <w:szCs w:val="27"/>
        </w:rPr>
        <w:t>Перевод н</w:t>
      </w:r>
      <w:r w:rsidRPr="0094751E">
        <w:rPr>
          <w:bCs/>
          <w:sz w:val="28"/>
          <w:szCs w:val="28"/>
        </w:rPr>
        <w:t>аучн</w:t>
      </w:r>
      <w:r>
        <w:rPr>
          <w:bCs/>
          <w:sz w:val="28"/>
          <w:szCs w:val="28"/>
        </w:rPr>
        <w:t>ого</w:t>
      </w:r>
      <w:r w:rsidRPr="0094751E">
        <w:rPr>
          <w:bCs/>
          <w:sz w:val="28"/>
          <w:szCs w:val="28"/>
        </w:rPr>
        <w:t xml:space="preserve"> текст</w:t>
      </w:r>
      <w:r>
        <w:rPr>
          <w:bCs/>
          <w:sz w:val="28"/>
          <w:szCs w:val="28"/>
        </w:rPr>
        <w:t>а</w:t>
      </w:r>
      <w:r w:rsidRPr="0094751E">
        <w:rPr>
          <w:bCs/>
          <w:sz w:val="28"/>
          <w:szCs w:val="28"/>
        </w:rPr>
        <w:t xml:space="preserve"> с </w:t>
      </w:r>
      <w:r>
        <w:rPr>
          <w:bCs/>
          <w:sz w:val="28"/>
          <w:szCs w:val="28"/>
        </w:rPr>
        <w:t>английского</w:t>
      </w:r>
      <w:r w:rsidRPr="0094751E">
        <w:rPr>
          <w:bCs/>
          <w:sz w:val="28"/>
          <w:szCs w:val="28"/>
        </w:rPr>
        <w:t xml:space="preserve"> языка</w:t>
      </w:r>
    </w:p>
    <w:p w:rsidR="009A0F7B" w:rsidRDefault="009A0F7B" w:rsidP="009A0F7B">
      <w:pPr>
        <w:spacing w:after="0" w:line="360" w:lineRule="auto"/>
        <w:ind w:firstLine="709"/>
        <w:jc w:val="cente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387751" w:rsidRPr="009A0F7B" w:rsidRDefault="00387751" w:rsidP="00387751">
      <w:pPr>
        <w:spacing w:after="0" w:line="360" w:lineRule="auto"/>
        <w:jc w:val="center"/>
        <w:rPr>
          <w:rFonts w:ascii="Times New Roman" w:hAnsi="Times New Roman" w:cs="Times New Roman"/>
          <w:b/>
          <w:sz w:val="24"/>
          <w:szCs w:val="24"/>
          <w:u w:val="single"/>
          <w:lang w:val="en-US"/>
        </w:rPr>
      </w:pPr>
      <w:r w:rsidRPr="009A0F7B">
        <w:rPr>
          <w:rFonts w:ascii="Times New Roman" w:hAnsi="Times New Roman" w:cs="Times New Roman"/>
          <w:b/>
          <w:sz w:val="24"/>
          <w:szCs w:val="24"/>
          <w:u w:val="single"/>
          <w:lang w:val="en-US"/>
        </w:rPr>
        <w:lastRenderedPageBreak/>
        <w:t>Female hunters of the early Americas</w:t>
      </w:r>
    </w:p>
    <w:p w:rsidR="005F50CC" w:rsidRPr="009A0F7B" w:rsidRDefault="005F50CC" w:rsidP="005F50CC">
      <w:pPr>
        <w:spacing w:after="0" w:line="360" w:lineRule="auto"/>
        <w:jc w:val="right"/>
        <w:rPr>
          <w:rFonts w:ascii="Times New Roman" w:hAnsi="Times New Roman" w:cs="Times New Roman"/>
          <w:sz w:val="24"/>
          <w:szCs w:val="24"/>
          <w:lang w:val="en-US"/>
        </w:rPr>
      </w:pPr>
      <w:r w:rsidRPr="009A0F7B">
        <w:rPr>
          <w:rFonts w:ascii="Times New Roman" w:hAnsi="Times New Roman" w:cs="Times New Roman"/>
          <w:sz w:val="24"/>
          <w:szCs w:val="24"/>
          <w:lang w:val="en-US"/>
        </w:rPr>
        <w:t xml:space="preserve">Randall Haas </w:t>
      </w:r>
      <w:proofErr w:type="gramStart"/>
      <w:r w:rsidRPr="009A0F7B">
        <w:rPr>
          <w:rFonts w:ascii="Times New Roman" w:hAnsi="Times New Roman" w:cs="Times New Roman"/>
          <w:sz w:val="24"/>
          <w:szCs w:val="24"/>
          <w:lang w:val="en-US"/>
        </w:rPr>
        <w:t>et</w:t>
      </w:r>
      <w:proofErr w:type="gramEnd"/>
      <w:r w:rsidRPr="009A0F7B">
        <w:rPr>
          <w:rFonts w:ascii="Times New Roman" w:hAnsi="Times New Roman" w:cs="Times New Roman"/>
          <w:sz w:val="24"/>
          <w:szCs w:val="24"/>
          <w:lang w:val="en-US"/>
        </w:rPr>
        <w:t xml:space="preserve">. </w:t>
      </w:r>
      <w:proofErr w:type="gramStart"/>
      <w:r w:rsidRPr="009A0F7B">
        <w:rPr>
          <w:rFonts w:ascii="Times New Roman" w:hAnsi="Times New Roman" w:cs="Times New Roman"/>
          <w:sz w:val="24"/>
          <w:szCs w:val="24"/>
          <w:lang w:val="en-US"/>
        </w:rPr>
        <w:t>all</w:t>
      </w:r>
      <w:proofErr w:type="gramEnd"/>
    </w:p>
    <w:p w:rsidR="005F50CC" w:rsidRPr="009A0F7B" w:rsidRDefault="005F50CC" w:rsidP="005F50CC">
      <w:pPr>
        <w:spacing w:after="0" w:line="360" w:lineRule="auto"/>
        <w:ind w:firstLine="709"/>
        <w:jc w:val="both"/>
        <w:rPr>
          <w:rFonts w:ascii="Times New Roman" w:hAnsi="Times New Roman" w:cs="Times New Roman"/>
          <w:sz w:val="24"/>
          <w:szCs w:val="24"/>
          <w:lang w:val="en-US"/>
        </w:rPr>
      </w:pPr>
      <w:r w:rsidRPr="009A0F7B">
        <w:rPr>
          <w:rFonts w:ascii="Times New Roman" w:hAnsi="Times New Roman" w:cs="Times New Roman"/>
          <w:sz w:val="24"/>
          <w:szCs w:val="24"/>
          <w:lang w:val="en-US"/>
        </w:rPr>
        <w:t xml:space="preserve">Sexual division of labor with females as gatherers and males as hunters is a major empirical regularity of </w:t>
      </w:r>
      <w:proofErr w:type="spellStart"/>
      <w:r w:rsidRPr="009A0F7B">
        <w:rPr>
          <w:rFonts w:ascii="Times New Roman" w:hAnsi="Times New Roman" w:cs="Times New Roman"/>
          <w:sz w:val="24"/>
          <w:szCs w:val="24"/>
          <w:lang w:val="en-US"/>
        </w:rPr>
        <w:t>huntergatherer</w:t>
      </w:r>
      <w:proofErr w:type="spellEnd"/>
      <w:r w:rsidRPr="009A0F7B">
        <w:rPr>
          <w:rFonts w:ascii="Times New Roman" w:hAnsi="Times New Roman" w:cs="Times New Roman"/>
          <w:sz w:val="24"/>
          <w:szCs w:val="24"/>
          <w:lang w:val="en-US"/>
        </w:rPr>
        <w:t xml:space="preserve"> ethnography, suggesting an ancestral behavioral pattern. We present an archeological discovery and meta-analysis that challenge the man-the-hunter hypothesis. Excavations at the Andean highland site of </w:t>
      </w:r>
      <w:proofErr w:type="spellStart"/>
      <w:r w:rsidRPr="009A0F7B">
        <w:rPr>
          <w:rFonts w:ascii="Times New Roman" w:hAnsi="Times New Roman" w:cs="Times New Roman"/>
          <w:sz w:val="24"/>
          <w:szCs w:val="24"/>
          <w:lang w:val="en-US"/>
        </w:rPr>
        <w:t>Wilamaya</w:t>
      </w:r>
      <w:proofErr w:type="spellEnd"/>
      <w:r w:rsidRPr="009A0F7B">
        <w:rPr>
          <w:rFonts w:ascii="Times New Roman" w:hAnsi="Times New Roman" w:cs="Times New Roman"/>
          <w:sz w:val="24"/>
          <w:szCs w:val="24"/>
          <w:lang w:val="en-US"/>
        </w:rPr>
        <w:t xml:space="preserve"> </w:t>
      </w:r>
      <w:proofErr w:type="spellStart"/>
      <w:r w:rsidRPr="009A0F7B">
        <w:rPr>
          <w:rFonts w:ascii="Times New Roman" w:hAnsi="Times New Roman" w:cs="Times New Roman"/>
          <w:sz w:val="24"/>
          <w:szCs w:val="24"/>
          <w:lang w:val="en-US"/>
        </w:rPr>
        <w:t>Patjxa</w:t>
      </w:r>
      <w:proofErr w:type="spellEnd"/>
      <w:r w:rsidRPr="009A0F7B">
        <w:rPr>
          <w:rFonts w:ascii="Times New Roman" w:hAnsi="Times New Roman" w:cs="Times New Roman"/>
          <w:sz w:val="24"/>
          <w:szCs w:val="24"/>
          <w:lang w:val="en-US"/>
        </w:rPr>
        <w:t xml:space="preserve"> reveal a 9000-year-old human burial (WMP6) associated with a hunting toolkit of stone projectile points and animal processing tools. </w:t>
      </w:r>
      <w:proofErr w:type="spellStart"/>
      <w:r w:rsidRPr="009A0F7B">
        <w:rPr>
          <w:rFonts w:ascii="Times New Roman" w:hAnsi="Times New Roman" w:cs="Times New Roman"/>
          <w:sz w:val="24"/>
          <w:szCs w:val="24"/>
          <w:lang w:val="en-US"/>
        </w:rPr>
        <w:t>Osteological</w:t>
      </w:r>
      <w:proofErr w:type="spellEnd"/>
      <w:r w:rsidRPr="009A0F7B">
        <w:rPr>
          <w:rFonts w:ascii="Times New Roman" w:hAnsi="Times New Roman" w:cs="Times New Roman"/>
          <w:sz w:val="24"/>
          <w:szCs w:val="24"/>
          <w:lang w:val="en-US"/>
        </w:rPr>
        <w:t xml:space="preserve">, proteomic, and isotopic analyses indicate that this early hunter was a young adult female who subsisted on terrestrial plants and animals. Analysis of Late Pleistocene and Early Holocene burial practices throughout the Americas situate WMP6 as the earliest and most secure hunter burial in a sample that includes 10 other females in statistical parity with early male hunter burials. The findings are consistent with </w:t>
      </w:r>
      <w:proofErr w:type="spellStart"/>
      <w:r w:rsidRPr="009A0F7B">
        <w:rPr>
          <w:rFonts w:ascii="Times New Roman" w:hAnsi="Times New Roman" w:cs="Times New Roman"/>
          <w:sz w:val="24"/>
          <w:szCs w:val="24"/>
          <w:lang w:val="en-US"/>
        </w:rPr>
        <w:t>nongendered</w:t>
      </w:r>
      <w:proofErr w:type="spellEnd"/>
      <w:r w:rsidRPr="009A0F7B">
        <w:rPr>
          <w:rFonts w:ascii="Times New Roman" w:hAnsi="Times New Roman" w:cs="Times New Roman"/>
          <w:sz w:val="24"/>
          <w:szCs w:val="24"/>
          <w:lang w:val="en-US"/>
        </w:rPr>
        <w:t xml:space="preserve"> labor practices in which early hunter-gatherer females were big-game hunters.</w:t>
      </w:r>
    </w:p>
    <w:p w:rsidR="00387751" w:rsidRPr="009A0F7B" w:rsidRDefault="00387751" w:rsidP="00387751">
      <w:pPr>
        <w:spacing w:after="0" w:line="360" w:lineRule="auto"/>
        <w:ind w:firstLine="709"/>
        <w:jc w:val="both"/>
        <w:rPr>
          <w:rFonts w:ascii="Times New Roman" w:hAnsi="Times New Roman" w:cs="Times New Roman"/>
          <w:sz w:val="24"/>
          <w:szCs w:val="24"/>
          <w:lang w:val="en-US"/>
        </w:rPr>
      </w:pPr>
      <w:r w:rsidRPr="009A0F7B">
        <w:rPr>
          <w:rFonts w:ascii="Times New Roman" w:hAnsi="Times New Roman" w:cs="Times New Roman"/>
          <w:sz w:val="24"/>
          <w:szCs w:val="24"/>
          <w:lang w:val="en-US"/>
        </w:rPr>
        <w:t xml:space="preserve">Big-game hunting is an overwhelmingly male-biased behavior among recent hunter-gatherer societies. Such observations would seem to suggest that this gendered behavioral pattern is an ancestral one, ostensibly stemming from life history traits related to pregnancy and child care, which constrain female subsistence opportunities. However, a number of scholars have theorized that such division of labor would have been less pronounced, altogether absent, or structurally different among our early hunter-gatherer ancestors. Early subsistence economies that emphasized big game would have encouraged participation from all able individuals. </w:t>
      </w:r>
      <w:proofErr w:type="spellStart"/>
      <w:r w:rsidRPr="009A0F7B">
        <w:rPr>
          <w:rFonts w:ascii="Times New Roman" w:hAnsi="Times New Roman" w:cs="Times New Roman"/>
          <w:sz w:val="24"/>
          <w:szCs w:val="24"/>
          <w:lang w:val="en-US"/>
        </w:rPr>
        <w:t>Alloparenting</w:t>
      </w:r>
      <w:proofErr w:type="spellEnd"/>
      <w:r w:rsidRPr="009A0F7B">
        <w:rPr>
          <w:rFonts w:ascii="Times New Roman" w:hAnsi="Times New Roman" w:cs="Times New Roman"/>
          <w:sz w:val="24"/>
          <w:szCs w:val="24"/>
          <w:lang w:val="en-US"/>
        </w:rPr>
        <w:t>, which appears to have deep evolutionary roots in the human species, would have freed women of child care demands, allowing them to hunt. Communal hunting, which also appears to have deep evolutionary roots, would have encouraged contributions from females, males, and children whether in driving or dispatching large animals. Moreover, the primary hunting technology of the time—the atlatl or spear thrower—would have encouraged broad participation in big-game hunting. Pooling labor and sharing meat are necessary to mitigate risks associated with the atlatl’s low accuracy and long reloading times. Furthermore, peak proficiency in atlatl use can be achieved at a young age, potentially before females reach reproductive age, obviating a sex-biased technological constraint that would later intensify with bow-and-arrow technology. Last, the residentially mobile lifestyle entailed by big-game specialization is quite conducive to human reproduction and, thus, female hunting—contrary to previous thinking—because it reduces net movement relative to central-place foraging strategies. This hypothesis is consistent with high population growth rates among early hunter-gatherer populations.</w:t>
      </w:r>
    </w:p>
    <w:p w:rsidR="00387751" w:rsidRPr="009A0F7B" w:rsidRDefault="00387751" w:rsidP="00387751">
      <w:pPr>
        <w:spacing w:after="0" w:line="360" w:lineRule="auto"/>
        <w:ind w:firstLine="709"/>
        <w:jc w:val="both"/>
        <w:rPr>
          <w:rFonts w:ascii="Times New Roman" w:hAnsi="Times New Roman" w:cs="Times New Roman"/>
          <w:sz w:val="24"/>
          <w:szCs w:val="24"/>
          <w:lang w:val="en-US"/>
        </w:rPr>
      </w:pPr>
      <w:r w:rsidRPr="009A0F7B">
        <w:rPr>
          <w:rFonts w:ascii="Times New Roman" w:hAnsi="Times New Roman" w:cs="Times New Roman"/>
          <w:sz w:val="24"/>
          <w:szCs w:val="24"/>
          <w:lang w:val="en-US"/>
        </w:rPr>
        <w:lastRenderedPageBreak/>
        <w:t xml:space="preserve">Despite such theoretical considerations, some scholars have been reluctant to ascribe hunting functionality to tools associated with female burials. Concerning the </w:t>
      </w:r>
      <w:proofErr w:type="spellStart"/>
      <w:r w:rsidRPr="009A0F7B">
        <w:rPr>
          <w:rFonts w:ascii="Times New Roman" w:hAnsi="Times New Roman" w:cs="Times New Roman"/>
          <w:sz w:val="24"/>
          <w:szCs w:val="24"/>
          <w:lang w:val="en-US"/>
        </w:rPr>
        <w:t>Paleoindian</w:t>
      </w:r>
      <w:proofErr w:type="spellEnd"/>
      <w:r w:rsidRPr="009A0F7B">
        <w:rPr>
          <w:rFonts w:ascii="Times New Roman" w:hAnsi="Times New Roman" w:cs="Times New Roman"/>
          <w:sz w:val="24"/>
          <w:szCs w:val="24"/>
          <w:lang w:val="en-US"/>
        </w:rPr>
        <w:t xml:space="preserve"> Gordon Creek burial, </w:t>
      </w:r>
      <w:proofErr w:type="spellStart"/>
      <w:r w:rsidRPr="009A0F7B">
        <w:rPr>
          <w:rFonts w:ascii="Times New Roman" w:hAnsi="Times New Roman" w:cs="Times New Roman"/>
          <w:sz w:val="24"/>
          <w:szCs w:val="24"/>
          <w:lang w:val="en-US"/>
        </w:rPr>
        <w:t>Breternitz</w:t>
      </w:r>
      <w:proofErr w:type="spellEnd"/>
      <w:r w:rsidRPr="009A0F7B">
        <w:rPr>
          <w:rFonts w:ascii="Times New Roman" w:hAnsi="Times New Roman" w:cs="Times New Roman"/>
          <w:sz w:val="24"/>
          <w:szCs w:val="24"/>
          <w:lang w:val="en-US"/>
        </w:rPr>
        <w:t xml:space="preserve"> et al. grappled, “Since the burial has been determined to be a female, the inclusion of a projectile point preform has been difficult to explain. However, if the artifact had been used as a knife or scraper, typically women’s tools, then its inclusion with the burial is a more consistent association.” Nelson challenged a DNA-based sex determination at </w:t>
      </w:r>
      <w:proofErr w:type="spellStart"/>
      <w:r w:rsidRPr="009A0F7B">
        <w:rPr>
          <w:rFonts w:ascii="Times New Roman" w:hAnsi="Times New Roman" w:cs="Times New Roman"/>
          <w:sz w:val="24"/>
          <w:szCs w:val="24"/>
          <w:lang w:val="en-US"/>
        </w:rPr>
        <w:t>Toca</w:t>
      </w:r>
      <w:proofErr w:type="spellEnd"/>
      <w:r w:rsidRPr="009A0F7B">
        <w:rPr>
          <w:rFonts w:ascii="Times New Roman" w:hAnsi="Times New Roman" w:cs="Times New Roman"/>
          <w:sz w:val="24"/>
          <w:szCs w:val="24"/>
          <w:lang w:val="en-US"/>
        </w:rPr>
        <w:t xml:space="preserve"> dos </w:t>
      </w:r>
      <w:proofErr w:type="spellStart"/>
      <w:r w:rsidRPr="009A0F7B">
        <w:rPr>
          <w:rFonts w:ascii="Times New Roman" w:hAnsi="Times New Roman" w:cs="Times New Roman"/>
          <w:sz w:val="24"/>
          <w:szCs w:val="24"/>
          <w:lang w:val="en-US"/>
        </w:rPr>
        <w:t>Coqueiros</w:t>
      </w:r>
      <w:proofErr w:type="spellEnd"/>
      <w:r w:rsidRPr="009A0F7B">
        <w:rPr>
          <w:rFonts w:ascii="Times New Roman" w:hAnsi="Times New Roman" w:cs="Times New Roman"/>
          <w:sz w:val="24"/>
          <w:szCs w:val="24"/>
          <w:lang w:val="en-US"/>
        </w:rPr>
        <w:t xml:space="preserve"> partially on the grounds that “</w:t>
      </w:r>
      <w:proofErr w:type="gramStart"/>
      <w:r w:rsidRPr="009A0F7B">
        <w:rPr>
          <w:rFonts w:ascii="Times New Roman" w:hAnsi="Times New Roman" w:cs="Times New Roman"/>
          <w:sz w:val="24"/>
          <w:szCs w:val="24"/>
          <w:lang w:val="en-US"/>
        </w:rPr>
        <w:t>...[</w:t>
      </w:r>
      <w:proofErr w:type="gramEnd"/>
      <w:r w:rsidRPr="009A0F7B">
        <w:rPr>
          <w:rFonts w:ascii="Times New Roman" w:hAnsi="Times New Roman" w:cs="Times New Roman"/>
          <w:sz w:val="24"/>
          <w:szCs w:val="24"/>
          <w:lang w:val="en-US"/>
        </w:rPr>
        <w:t>t]he presence of inferred funerary offerings in the form of chipped stone points and other tools and flakes appear to support [male estimation]....” On the one hand, such reluctance may reflect a degree of contemporary gender bias or ethnographic bias. On the other hand, ethnographically informed models of gendered subsistence labor remain plausible as quantitative phenomena or given the multiple pathways by which objects can come to be spuriously associated in the archeological record. Toward resolving the question of gendered big-game hunting practices among early hunter-gatherer populations in the Americas, we report the discovery of two Early Holocene [pre–8 thousand years (</w:t>
      </w:r>
      <w:proofErr w:type="spellStart"/>
      <w:r w:rsidRPr="009A0F7B">
        <w:rPr>
          <w:rFonts w:ascii="Times New Roman" w:hAnsi="Times New Roman" w:cs="Times New Roman"/>
          <w:sz w:val="24"/>
          <w:szCs w:val="24"/>
          <w:lang w:val="en-US"/>
        </w:rPr>
        <w:t>ka</w:t>
      </w:r>
      <w:proofErr w:type="spellEnd"/>
      <w:r w:rsidRPr="009A0F7B">
        <w:rPr>
          <w:rFonts w:ascii="Times New Roman" w:hAnsi="Times New Roman" w:cs="Times New Roman"/>
          <w:sz w:val="24"/>
          <w:szCs w:val="24"/>
          <w:lang w:val="en-US"/>
        </w:rPr>
        <w:t>)] hunter-gatherer burials in association with big-game hunting paraphernalia and place these findings in the context of Early Holocene and Late Pleistocene burial practices throughout the Americas.</w:t>
      </w:r>
    </w:p>
    <w:p w:rsidR="00594462" w:rsidRPr="009A0F7B" w:rsidRDefault="00387751" w:rsidP="009A0F7B">
      <w:pPr>
        <w:spacing w:after="0" w:line="360" w:lineRule="auto"/>
        <w:jc w:val="right"/>
        <w:rPr>
          <w:rFonts w:ascii="Times New Roman" w:hAnsi="Times New Roman" w:cs="Times New Roman"/>
          <w:sz w:val="28"/>
          <w:szCs w:val="28"/>
        </w:rPr>
      </w:pPr>
      <w:r w:rsidRPr="009A0F7B">
        <w:rPr>
          <w:rFonts w:ascii="Times New Roman" w:hAnsi="Times New Roman" w:cs="Times New Roman"/>
          <w:sz w:val="24"/>
          <w:szCs w:val="24"/>
          <w:lang w:val="en-US"/>
        </w:rPr>
        <w:t>(</w:t>
      </w:r>
      <w:r w:rsidRPr="009A0F7B">
        <w:rPr>
          <w:rFonts w:ascii="Times New Roman" w:hAnsi="Times New Roman" w:cs="Times New Roman"/>
          <w:i/>
          <w:sz w:val="24"/>
          <w:szCs w:val="24"/>
          <w:lang w:val="en-US"/>
        </w:rPr>
        <w:t>Science Advances</w:t>
      </w:r>
      <w:r w:rsidRPr="009A0F7B">
        <w:rPr>
          <w:rFonts w:ascii="Times New Roman" w:hAnsi="Times New Roman" w:cs="Times New Roman"/>
          <w:sz w:val="24"/>
          <w:szCs w:val="24"/>
          <w:lang w:val="en-US"/>
        </w:rPr>
        <w:t>, 6(45), November 4, 2020</w:t>
      </w:r>
      <w:r>
        <w:rPr>
          <w:rFonts w:ascii="Times New Roman" w:hAnsi="Times New Roman" w:cs="Times New Roman"/>
          <w:sz w:val="28"/>
          <w:szCs w:val="28"/>
          <w:lang w:val="en-US"/>
        </w:rPr>
        <w:t>)</w:t>
      </w:r>
    </w:p>
    <w:sectPr w:rsidR="00594462" w:rsidRPr="009A0F7B" w:rsidSect="00D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1C"/>
    <w:rsid w:val="002D5FAF"/>
    <w:rsid w:val="00387751"/>
    <w:rsid w:val="004755B4"/>
    <w:rsid w:val="00594462"/>
    <w:rsid w:val="005971A1"/>
    <w:rsid w:val="005F50CC"/>
    <w:rsid w:val="008833B3"/>
    <w:rsid w:val="009A0F7B"/>
    <w:rsid w:val="009D363B"/>
    <w:rsid w:val="00A80ABF"/>
    <w:rsid w:val="00B40D7A"/>
    <w:rsid w:val="00B85D0C"/>
    <w:rsid w:val="00CD531C"/>
    <w:rsid w:val="00D92DD7"/>
    <w:rsid w:val="00FE1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44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44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4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446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94462"/>
    <w:rPr>
      <w:color w:val="0000FF"/>
      <w:u w:val="single"/>
    </w:rPr>
  </w:style>
  <w:style w:type="paragraph" w:styleId="a4">
    <w:name w:val="Normal (Web)"/>
    <w:basedOn w:val="a"/>
    <w:uiPriority w:val="99"/>
    <w:semiHidden/>
    <w:unhideWhenUsed/>
    <w:rsid w:val="00594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94462"/>
    <w:rPr>
      <w:i/>
      <w:iCs/>
    </w:rPr>
  </w:style>
  <w:style w:type="paragraph" w:styleId="a6">
    <w:name w:val="Balloon Text"/>
    <w:basedOn w:val="a"/>
    <w:link w:val="a7"/>
    <w:uiPriority w:val="99"/>
    <w:semiHidden/>
    <w:unhideWhenUsed/>
    <w:rsid w:val="005944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462"/>
    <w:rPr>
      <w:rFonts w:ascii="Tahoma" w:hAnsi="Tahoma" w:cs="Tahoma"/>
      <w:sz w:val="16"/>
      <w:szCs w:val="16"/>
    </w:rPr>
  </w:style>
  <w:style w:type="paragraph" w:styleId="a8">
    <w:name w:val="List Paragraph"/>
    <w:basedOn w:val="a"/>
    <w:uiPriority w:val="34"/>
    <w:qFormat/>
    <w:rsid w:val="004755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44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44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4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446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94462"/>
    <w:rPr>
      <w:color w:val="0000FF"/>
      <w:u w:val="single"/>
    </w:rPr>
  </w:style>
  <w:style w:type="paragraph" w:styleId="a4">
    <w:name w:val="Normal (Web)"/>
    <w:basedOn w:val="a"/>
    <w:uiPriority w:val="99"/>
    <w:semiHidden/>
    <w:unhideWhenUsed/>
    <w:rsid w:val="00594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94462"/>
    <w:rPr>
      <w:i/>
      <w:iCs/>
    </w:rPr>
  </w:style>
  <w:style w:type="paragraph" w:styleId="a6">
    <w:name w:val="Balloon Text"/>
    <w:basedOn w:val="a"/>
    <w:link w:val="a7"/>
    <w:uiPriority w:val="99"/>
    <w:semiHidden/>
    <w:unhideWhenUsed/>
    <w:rsid w:val="005944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462"/>
    <w:rPr>
      <w:rFonts w:ascii="Tahoma" w:hAnsi="Tahoma" w:cs="Tahoma"/>
      <w:sz w:val="16"/>
      <w:szCs w:val="16"/>
    </w:rPr>
  </w:style>
  <w:style w:type="paragraph" w:styleId="a8">
    <w:name w:val="List Paragraph"/>
    <w:basedOn w:val="a"/>
    <w:uiPriority w:val="34"/>
    <w:qFormat/>
    <w:rsid w:val="00475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139">
      <w:bodyDiv w:val="1"/>
      <w:marLeft w:val="0"/>
      <w:marRight w:val="0"/>
      <w:marTop w:val="0"/>
      <w:marBottom w:val="0"/>
      <w:divBdr>
        <w:top w:val="none" w:sz="0" w:space="0" w:color="auto"/>
        <w:left w:val="none" w:sz="0" w:space="0" w:color="auto"/>
        <w:bottom w:val="none" w:sz="0" w:space="0" w:color="auto"/>
        <w:right w:val="none" w:sz="0" w:space="0" w:color="auto"/>
      </w:divBdr>
    </w:div>
    <w:div w:id="251593993">
      <w:bodyDiv w:val="1"/>
      <w:marLeft w:val="0"/>
      <w:marRight w:val="0"/>
      <w:marTop w:val="0"/>
      <w:marBottom w:val="0"/>
      <w:divBdr>
        <w:top w:val="none" w:sz="0" w:space="0" w:color="auto"/>
        <w:left w:val="none" w:sz="0" w:space="0" w:color="auto"/>
        <w:bottom w:val="none" w:sz="0" w:space="0" w:color="auto"/>
        <w:right w:val="none" w:sz="0" w:space="0" w:color="auto"/>
      </w:divBdr>
    </w:div>
    <w:div w:id="682559920">
      <w:bodyDiv w:val="1"/>
      <w:marLeft w:val="0"/>
      <w:marRight w:val="0"/>
      <w:marTop w:val="0"/>
      <w:marBottom w:val="0"/>
      <w:divBdr>
        <w:top w:val="none" w:sz="0" w:space="0" w:color="auto"/>
        <w:left w:val="none" w:sz="0" w:space="0" w:color="auto"/>
        <w:bottom w:val="none" w:sz="0" w:space="0" w:color="auto"/>
        <w:right w:val="none" w:sz="0" w:space="0" w:color="auto"/>
      </w:divBdr>
    </w:div>
    <w:div w:id="737554099">
      <w:bodyDiv w:val="1"/>
      <w:marLeft w:val="0"/>
      <w:marRight w:val="0"/>
      <w:marTop w:val="0"/>
      <w:marBottom w:val="0"/>
      <w:divBdr>
        <w:top w:val="none" w:sz="0" w:space="0" w:color="auto"/>
        <w:left w:val="none" w:sz="0" w:space="0" w:color="auto"/>
        <w:bottom w:val="none" w:sz="0" w:space="0" w:color="auto"/>
        <w:right w:val="none" w:sz="0" w:space="0" w:color="auto"/>
      </w:divBdr>
    </w:div>
    <w:div w:id="745760760">
      <w:bodyDiv w:val="1"/>
      <w:marLeft w:val="0"/>
      <w:marRight w:val="0"/>
      <w:marTop w:val="0"/>
      <w:marBottom w:val="0"/>
      <w:divBdr>
        <w:top w:val="none" w:sz="0" w:space="0" w:color="auto"/>
        <w:left w:val="none" w:sz="0" w:space="0" w:color="auto"/>
        <w:bottom w:val="none" w:sz="0" w:space="0" w:color="auto"/>
        <w:right w:val="none" w:sz="0" w:space="0" w:color="auto"/>
      </w:divBdr>
    </w:div>
    <w:div w:id="826093059">
      <w:bodyDiv w:val="1"/>
      <w:marLeft w:val="0"/>
      <w:marRight w:val="0"/>
      <w:marTop w:val="0"/>
      <w:marBottom w:val="0"/>
      <w:divBdr>
        <w:top w:val="none" w:sz="0" w:space="0" w:color="auto"/>
        <w:left w:val="none" w:sz="0" w:space="0" w:color="auto"/>
        <w:bottom w:val="none" w:sz="0" w:space="0" w:color="auto"/>
        <w:right w:val="none" w:sz="0" w:space="0" w:color="auto"/>
      </w:divBdr>
      <w:divsChild>
        <w:div w:id="1355494020">
          <w:marLeft w:val="0"/>
          <w:marRight w:val="0"/>
          <w:marTop w:val="150"/>
          <w:marBottom w:val="150"/>
          <w:divBdr>
            <w:top w:val="none" w:sz="0" w:space="0" w:color="auto"/>
            <w:left w:val="none" w:sz="0" w:space="0" w:color="auto"/>
            <w:bottom w:val="none" w:sz="0" w:space="0" w:color="auto"/>
            <w:right w:val="none" w:sz="0" w:space="0" w:color="auto"/>
          </w:divBdr>
        </w:div>
        <w:div w:id="337663490">
          <w:marLeft w:val="0"/>
          <w:marRight w:val="0"/>
          <w:marTop w:val="150"/>
          <w:marBottom w:val="150"/>
          <w:divBdr>
            <w:top w:val="none" w:sz="0" w:space="0" w:color="auto"/>
            <w:left w:val="none" w:sz="0" w:space="0" w:color="auto"/>
            <w:bottom w:val="none" w:sz="0" w:space="0" w:color="auto"/>
            <w:right w:val="none" w:sz="0" w:space="0" w:color="auto"/>
          </w:divBdr>
        </w:div>
      </w:divsChild>
    </w:div>
    <w:div w:id="1560290774">
      <w:bodyDiv w:val="1"/>
      <w:marLeft w:val="0"/>
      <w:marRight w:val="0"/>
      <w:marTop w:val="0"/>
      <w:marBottom w:val="0"/>
      <w:divBdr>
        <w:top w:val="none" w:sz="0" w:space="0" w:color="auto"/>
        <w:left w:val="none" w:sz="0" w:space="0" w:color="auto"/>
        <w:bottom w:val="none" w:sz="0" w:space="0" w:color="auto"/>
        <w:right w:val="none" w:sz="0" w:space="0" w:color="auto"/>
      </w:divBdr>
    </w:div>
    <w:div w:id="1739326785">
      <w:bodyDiv w:val="1"/>
      <w:marLeft w:val="0"/>
      <w:marRight w:val="0"/>
      <w:marTop w:val="0"/>
      <w:marBottom w:val="0"/>
      <w:divBdr>
        <w:top w:val="none" w:sz="0" w:space="0" w:color="auto"/>
        <w:left w:val="none" w:sz="0" w:space="0" w:color="auto"/>
        <w:bottom w:val="none" w:sz="0" w:space="0" w:color="auto"/>
        <w:right w:val="none" w:sz="0" w:space="0" w:color="auto"/>
      </w:divBdr>
    </w:div>
    <w:div w:id="1771075433">
      <w:bodyDiv w:val="1"/>
      <w:marLeft w:val="0"/>
      <w:marRight w:val="0"/>
      <w:marTop w:val="0"/>
      <w:marBottom w:val="0"/>
      <w:divBdr>
        <w:top w:val="none" w:sz="0" w:space="0" w:color="auto"/>
        <w:left w:val="none" w:sz="0" w:space="0" w:color="auto"/>
        <w:bottom w:val="none" w:sz="0" w:space="0" w:color="auto"/>
        <w:right w:val="none" w:sz="0" w:space="0" w:color="auto"/>
      </w:divBdr>
      <w:divsChild>
        <w:div w:id="1325662288">
          <w:marLeft w:val="0"/>
          <w:marRight w:val="0"/>
          <w:marTop w:val="0"/>
          <w:marBottom w:val="0"/>
          <w:divBdr>
            <w:top w:val="none" w:sz="0" w:space="0" w:color="auto"/>
            <w:left w:val="none" w:sz="0" w:space="0" w:color="auto"/>
            <w:bottom w:val="single" w:sz="6" w:space="0" w:color="000000"/>
            <w:right w:val="none" w:sz="0" w:space="0" w:color="auto"/>
          </w:divBdr>
          <w:divsChild>
            <w:div w:id="1766340012">
              <w:marLeft w:val="0"/>
              <w:marRight w:val="0"/>
              <w:marTop w:val="0"/>
              <w:marBottom w:val="0"/>
              <w:divBdr>
                <w:top w:val="none" w:sz="0" w:space="0" w:color="auto"/>
                <w:left w:val="none" w:sz="0" w:space="0" w:color="auto"/>
                <w:bottom w:val="none" w:sz="0" w:space="0" w:color="auto"/>
                <w:right w:val="none" w:sz="0" w:space="0" w:color="auto"/>
              </w:divBdr>
            </w:div>
            <w:div w:id="521282441">
              <w:marLeft w:val="0"/>
              <w:marRight w:val="0"/>
              <w:marTop w:val="0"/>
              <w:marBottom w:val="0"/>
              <w:divBdr>
                <w:top w:val="none" w:sz="0" w:space="0" w:color="auto"/>
                <w:left w:val="none" w:sz="0" w:space="0" w:color="auto"/>
                <w:bottom w:val="none" w:sz="0" w:space="0" w:color="auto"/>
                <w:right w:val="none" w:sz="0" w:space="0" w:color="auto"/>
              </w:divBdr>
            </w:div>
          </w:divsChild>
        </w:div>
        <w:div w:id="2133549586">
          <w:marLeft w:val="0"/>
          <w:marRight w:val="0"/>
          <w:marTop w:val="0"/>
          <w:marBottom w:val="0"/>
          <w:divBdr>
            <w:top w:val="none" w:sz="0" w:space="0" w:color="auto"/>
            <w:left w:val="none" w:sz="0" w:space="0" w:color="auto"/>
            <w:bottom w:val="none" w:sz="0" w:space="0" w:color="auto"/>
            <w:right w:val="none" w:sz="0" w:space="0" w:color="auto"/>
          </w:divBdr>
        </w:div>
      </w:divsChild>
    </w:div>
    <w:div w:id="193628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3943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Fliginskikh</dc:creator>
  <cp:lastModifiedBy>Ekaterina Fliginskikh</cp:lastModifiedBy>
  <cp:revision>2</cp:revision>
  <dcterms:created xsi:type="dcterms:W3CDTF">2021-09-14T08:35:00Z</dcterms:created>
  <dcterms:modified xsi:type="dcterms:W3CDTF">2021-09-14T08:35:00Z</dcterms:modified>
</cp:coreProperties>
</file>